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sz w:val="44"/>
          <w:szCs w:val="44"/>
        </w:rPr>
        <w:t>黑龙江省哲学社会科学研究规划项目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选题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习近平新时代中国特色社会主义思想体系化学理化研究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习近平文化思想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体系化学理化研究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习近平生态文明思想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体系化学理化研究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海外习近平新时代中国特色社会主义思想研究状况与分析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新时代历史性成就与历史性变革及其里程碑意义研究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马克思主义中国化时代化的文明根基、历史进程和基本经验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两个确立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的决定性意义研究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两个结合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与中国马克思主义的理论发展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中共党史上重要会议、重大事件的史料收集、整理与研究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党的全面领导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的理论建构与制度路径研究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中国式现代化进程中的风险与挑战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中华民族伟大复兴的文明根基与历史进程研究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坚持和完善中国特色社会主义基本制度研究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国家治理体系与治理能力现代化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数字治理生态问题研究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新质生产力的科学意义、深刻内涵研究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新发展理念与新质生产力质态研究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数智治理与新质生产力发展研究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新质生产力构成维度与测量指标研究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新质</w:t>
      </w:r>
      <w:r>
        <w:rPr>
          <w:rFonts w:hint="eastAsia" w:eastAsia="方正仿宋简体"/>
          <w:color w:val="auto"/>
          <w:sz w:val="32"/>
          <w:szCs w:val="32"/>
        </w:rPr>
        <w:t>生产力与生产关系协同发展研究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新质生产力对马克思生产力理论的继承发展研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新质生产力理念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国际传播研究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“新质生产力”话语的生成与传播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新技术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发展的社会影响与风险治理研究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人工智能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的伦理问题研究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人口、家庭与可持续发展研究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家庭伦理建设与生育、抚育和养老问题研究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中华优秀传统文化的精神标识研究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三大全球倡议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重大理论和实践问题研究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一带一路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建设中的前沿问题研究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一带一路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沿线国家的民族宗教问题研究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中华文化对外传播研究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全球化与逆全球化问题研究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全球网络空间的秩序、冲突与治理研究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国家安全体系和安全能力现代化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数字智能技术与人文社会科学发展及知识生产范式变革研究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习近平总书记视察我省重要讲话重要指示精神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的世界观和方法论研究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黑龙江维护国家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五大安全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重大使命研究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五大优势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转化为发展新动能研究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黑龙江建好建强国家重要能源及原材料基地研究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黑龙江建好建强国家重要商品粮生产基地研究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黑龙江建好建强国家重型装备生产制造基地研究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黑龙江建好建强国家北方生态屏障研究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构筑我国向北开放新高地研究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以加强党的领导和党的建设作为黑龙江全面振兴的根本保证研究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加快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新质生产力的主攻方向与政策保障研究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加速黑龙江新质生产力创新策源地建设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</w:t>
      </w:r>
      <w:r>
        <w:rPr>
          <w:rFonts w:hint="eastAsia" w:eastAsia="方正仿宋简体"/>
          <w:color w:val="auto"/>
          <w:sz w:val="32"/>
          <w:szCs w:val="32"/>
        </w:rPr>
        <w:t>龙江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以</w:t>
      </w:r>
      <w:r>
        <w:rPr>
          <w:rFonts w:hint="eastAsia" w:eastAsia="方正仿宋简体"/>
          <w:color w:val="auto"/>
          <w:sz w:val="32"/>
          <w:szCs w:val="32"/>
        </w:rPr>
        <w:t>颠覆式创新加快培育新质生产力研究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创新链产业链深度融合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推动</w:t>
      </w:r>
      <w:r>
        <w:rPr>
          <w:rFonts w:hint="eastAsia" w:eastAsia="方正仿宋简体"/>
          <w:color w:val="auto"/>
          <w:sz w:val="32"/>
          <w:szCs w:val="32"/>
        </w:rPr>
        <w:t>黑龙江新质生产力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发展新质生产力与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生产力结构变革研究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</w:t>
      </w:r>
      <w:r>
        <w:rPr>
          <w:rFonts w:hint="eastAsia" w:eastAsia="方正仿宋简体"/>
          <w:color w:val="auto"/>
          <w:sz w:val="32"/>
          <w:szCs w:val="32"/>
        </w:rPr>
        <w:t>优化重大生产力布局的理论、原则和政策研究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开放式创新驱动黑龙江新质生产力发展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黑龙江传统生产力向新质生产力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转化</w:t>
      </w:r>
      <w:r>
        <w:rPr>
          <w:rFonts w:hint="eastAsia" w:eastAsia="方正仿宋简体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数据要素驱动黑龙江省新质生产力发展研究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黑龙江以</w:t>
      </w:r>
      <w:r>
        <w:rPr>
          <w:rFonts w:hint="eastAsia" w:eastAsia="方正仿宋简体"/>
          <w:color w:val="auto"/>
          <w:sz w:val="32"/>
          <w:szCs w:val="32"/>
        </w:rPr>
        <w:t>高水平知识产权保护助推新质生产力发展研究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金融助力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</w:t>
      </w:r>
      <w:r>
        <w:rPr>
          <w:rFonts w:hint="eastAsia" w:eastAsia="方正仿宋简体"/>
          <w:color w:val="auto"/>
          <w:sz w:val="32"/>
          <w:szCs w:val="32"/>
        </w:rPr>
        <w:t>龙江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新质生产力发展</w:t>
      </w:r>
      <w:r>
        <w:rPr>
          <w:rFonts w:hint="eastAsia" w:eastAsia="方正仿宋简体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</w:t>
      </w:r>
      <w:r>
        <w:rPr>
          <w:rFonts w:hint="eastAsia" w:eastAsia="方正仿宋简体"/>
          <w:color w:val="auto"/>
          <w:sz w:val="32"/>
          <w:szCs w:val="32"/>
        </w:rPr>
        <w:t>构建与新质生产力相适应的现代化产业体系路径研究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黑龙江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发展</w:t>
      </w:r>
      <w:r>
        <w:rPr>
          <w:rFonts w:hint="eastAsia" w:eastAsia="方正仿宋简体"/>
          <w:color w:val="auto"/>
          <w:sz w:val="32"/>
          <w:szCs w:val="32"/>
        </w:rPr>
        <w:t>新质生产力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引领</w:t>
      </w:r>
      <w:r>
        <w:rPr>
          <w:rFonts w:hint="eastAsia" w:eastAsia="方正仿宋简体"/>
          <w:color w:val="auto"/>
          <w:sz w:val="32"/>
          <w:szCs w:val="32"/>
        </w:rPr>
        <w:t>传统产业升级研究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黑龙江区域协同发展与新质生产力布局优化研究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新质生产力驱动下的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</w:t>
      </w:r>
      <w:r>
        <w:rPr>
          <w:rFonts w:hint="eastAsia" w:eastAsia="方正仿宋简体"/>
          <w:color w:val="auto"/>
          <w:sz w:val="32"/>
          <w:szCs w:val="32"/>
        </w:rPr>
        <w:t>数字金融与实体经济发展动态适应性研究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黑龙江以</w:t>
      </w:r>
      <w:r>
        <w:rPr>
          <w:rFonts w:hint="eastAsia" w:eastAsia="方正仿宋简体"/>
          <w:color w:val="auto"/>
          <w:sz w:val="32"/>
          <w:szCs w:val="32"/>
        </w:rPr>
        <w:t>颠覆性创新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引领</w:t>
      </w:r>
      <w:r>
        <w:rPr>
          <w:rFonts w:hint="eastAsia" w:eastAsia="方正仿宋简体"/>
          <w:color w:val="auto"/>
          <w:sz w:val="32"/>
          <w:szCs w:val="32"/>
        </w:rPr>
        <w:t>农业新质生产力研究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黑龙江以</w:t>
      </w:r>
      <w:r>
        <w:rPr>
          <w:rFonts w:hint="eastAsia" w:eastAsia="方正仿宋简体"/>
          <w:color w:val="auto"/>
          <w:sz w:val="32"/>
          <w:szCs w:val="32"/>
        </w:rPr>
        <w:t>颠覆性创新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引领</w:t>
      </w:r>
      <w:r>
        <w:rPr>
          <w:rFonts w:hint="eastAsia" w:eastAsia="方正仿宋简体"/>
          <w:color w:val="auto"/>
          <w:sz w:val="32"/>
          <w:szCs w:val="32"/>
        </w:rPr>
        <w:t>能源新质生产力研究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黑龙江以</w:t>
      </w:r>
      <w:r>
        <w:rPr>
          <w:rFonts w:hint="eastAsia" w:eastAsia="方正仿宋简体"/>
          <w:color w:val="auto"/>
          <w:sz w:val="32"/>
          <w:szCs w:val="32"/>
        </w:rPr>
        <w:t>颠覆性创新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引领装备制造</w:t>
      </w:r>
      <w:r>
        <w:rPr>
          <w:rFonts w:hint="eastAsia" w:eastAsia="方正仿宋简体"/>
          <w:color w:val="auto"/>
          <w:sz w:val="32"/>
          <w:szCs w:val="32"/>
        </w:rPr>
        <w:t>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黑龙江以产业升级引领生产方式绿色转型</w:t>
      </w:r>
      <w:r>
        <w:rPr>
          <w:rFonts w:hint="eastAsia" w:eastAsia="方正仿宋简体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黑龙江发挥对俄科技合作优势促进新质生产力发展研究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黑龙江文旅新质生产力“绿色+科技+产业”研究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</w:t>
      </w:r>
      <w:r>
        <w:rPr>
          <w:rFonts w:hint="eastAsia" w:eastAsia="方正仿宋简体"/>
          <w:color w:val="auto"/>
          <w:sz w:val="32"/>
          <w:szCs w:val="32"/>
        </w:rPr>
        <w:t>构建符合新质生产力发展需求的人才体制机制路径研究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新时代新征程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经济发展实践经验总结研究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黑龙江构建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4567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现代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</w:rPr>
        <w:t>黑龙江新兴产业培育与发展研究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黑龙江未来产业发展研究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黑龙江数字经济创新发展研究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</w:t>
      </w:r>
      <w:r>
        <w:rPr>
          <w:rFonts w:hint="eastAsia" w:eastAsia="方正仿宋简体"/>
          <w:color w:val="auto"/>
          <w:sz w:val="32"/>
          <w:szCs w:val="32"/>
        </w:rPr>
        <w:t>科技金融服务支撑科技成果转化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政策体系</w:t>
      </w:r>
      <w:r>
        <w:rPr>
          <w:rFonts w:hint="eastAsia" w:eastAsia="方正仿宋简体"/>
          <w:color w:val="auto"/>
          <w:sz w:val="32"/>
          <w:szCs w:val="32"/>
        </w:rPr>
        <w:t>研究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黑龙江生物经济创新发展研究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黑龙江建设产业备份基地路径研究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黑龙江对俄农业合作开发研究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/>
        </w:rPr>
        <w:t>拓展黑龙江森林大食物观与资源利用的体系研究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黑龙江民营经济发展问题与对策研究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黑龙江打造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两山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理论实践地政策研究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黑龙江生态多样性保护战略研究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</w:t>
      </w:r>
      <w:r>
        <w:rPr>
          <w:rFonts w:hint="eastAsia" w:eastAsia="方正仿宋简体"/>
          <w:color w:val="auto"/>
          <w:sz w:val="32"/>
          <w:szCs w:val="32"/>
        </w:rPr>
        <w:t>龙江生态产品价值实现的路径研究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</w:t>
      </w:r>
      <w:r>
        <w:rPr>
          <w:rFonts w:hint="eastAsia" w:eastAsia="方正仿宋简体"/>
          <w:color w:val="auto"/>
          <w:sz w:val="32"/>
          <w:szCs w:val="32"/>
        </w:rPr>
        <w:t>龙江产业链供应链韧性研究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黑龙江新型能源体系发展路径研究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黑龙江</w:t>
      </w:r>
      <w:r>
        <w:rPr>
          <w:rFonts w:hint="eastAsia" w:eastAsia="方正仿宋简体"/>
          <w:color w:val="auto"/>
          <w:sz w:val="32"/>
          <w:szCs w:val="32"/>
        </w:rPr>
        <w:t>旅游业高质量发展研究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/>
          <w:color w:val="auto"/>
          <w:sz w:val="32"/>
          <w:szCs w:val="32"/>
        </w:rPr>
        <w:t>黑龙江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康养</w:t>
      </w:r>
      <w:r>
        <w:rPr>
          <w:rFonts w:hint="eastAsia" w:eastAsia="方正仿宋简体"/>
          <w:color w:val="auto"/>
          <w:sz w:val="32"/>
          <w:szCs w:val="32"/>
        </w:rPr>
        <w:t>产业</w:t>
      </w:r>
      <w:r>
        <w:rPr>
          <w:rFonts w:hint="eastAsia" w:eastAsia="方正仿宋简体"/>
          <w:color w:val="auto"/>
          <w:sz w:val="32"/>
          <w:szCs w:val="32"/>
          <w:lang w:val="en-US" w:eastAsia="zh-CN"/>
        </w:rPr>
        <w:t>发展</w:t>
      </w:r>
      <w:r>
        <w:rPr>
          <w:rFonts w:hint="eastAsia" w:eastAsia="方正仿宋简体"/>
          <w:color w:val="auto"/>
          <w:sz w:val="32"/>
          <w:szCs w:val="32"/>
        </w:rPr>
        <w:t>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黑龙江低空经济高质量发展研究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黑龙江分类推进县域产业高质量发展研究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黑龙江有效降低全社会物流成本问题研究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社会服务体系现代化研究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eastAsia" w:eastAsia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黑龙江加快推进农业农村现代化研究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黑龙江财税制度研究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以人口高质量发展支撑黑龙江全面振兴研究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防范和化解重点领域风险研究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黑龙江优化政治生态和营商环境研究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幸福龙江建设的重大工程和政策措施研究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98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黑龙江边境地区基础设施和特色产业高质量发展研究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加强黑龙江重点领域、新兴领域立法研究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黑龙江自由贸易试验区的立法保障研究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重要商贸对象国经济、产业结构及市场需求调查分析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边疆治理的历史、理论与当代实践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侵华日军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罪证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档案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整理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高句丽、渤海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中东铁路问题研究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近代黑龙江流域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历史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研究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  <w:t>黑龙江红色资源开发与利用研究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黑龙江重要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文化遗产的保护与利用研究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黑龙江重要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文献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档案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的整理与研究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铸牢中华民族共同体意识的前沿问题研究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黑龙江民族与文化认同研究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黑龙江军民融合发展理论和实践问题研究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加强和改进黑龙江全民国防教育对策研究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黑龙江加强文物保护和文物科技创新研究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黑龙江通识教育的现状及未来研究</w:t>
      </w:r>
    </w:p>
    <w:p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B6EEE"/>
    <w:multiLevelType w:val="singleLevel"/>
    <w:tmpl w:val="C40B6EE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A619D"/>
    <w:rsid w:val="04A907D6"/>
    <w:rsid w:val="07DA5C27"/>
    <w:rsid w:val="0C4D4873"/>
    <w:rsid w:val="0CBF3549"/>
    <w:rsid w:val="157B4666"/>
    <w:rsid w:val="195C6D5F"/>
    <w:rsid w:val="279C300C"/>
    <w:rsid w:val="280A619D"/>
    <w:rsid w:val="441803F2"/>
    <w:rsid w:val="5E7A385F"/>
    <w:rsid w:val="605443D3"/>
    <w:rsid w:val="6A6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character" w:styleId="4">
    <w:name w:val="page number"/>
    <w:basedOn w:val="3"/>
    <w:qFormat/>
    <w:uiPriority w:val="0"/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customStyle="1" w:styleId="7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2024-06-24T05:49:00Z</dcterms:created>
  <dc:creator>apathy moon</dc:creator>
  <cp:lastModifiedBy>apathy moon</cp:lastModifiedBy>
  <cp:lastPrinted>2024-07-02T02:09:00Z</cp:lastPrinted>
  <dcterms:modified xsi:type="dcterms:W3CDTF">2024-07-08T02:51:32Z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